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D01" w:rsidRPr="00B61DF0" w:rsidRDefault="00B61DF0" w:rsidP="00B61DF0">
      <w:pPr>
        <w:jc w:val="center"/>
        <w:rPr>
          <w:sz w:val="52"/>
          <w:szCs w:val="52"/>
        </w:rPr>
      </w:pPr>
      <w:bookmarkStart w:id="0" w:name="_GoBack"/>
      <w:bookmarkEnd w:id="0"/>
      <w:r w:rsidRPr="00B61DF0">
        <w:rPr>
          <w:sz w:val="52"/>
          <w:szCs w:val="52"/>
        </w:rPr>
        <w:t>Year 1</w:t>
      </w:r>
      <w:r>
        <w:rPr>
          <w:sz w:val="52"/>
          <w:szCs w:val="52"/>
        </w:rPr>
        <w:t xml:space="preserve"> -</w:t>
      </w:r>
      <w:r w:rsidRPr="00B61DF0">
        <w:rPr>
          <w:sz w:val="52"/>
          <w:szCs w:val="52"/>
        </w:rPr>
        <w:t xml:space="preserve"> Term 1, 2018 Overview</w:t>
      </w:r>
    </w:p>
    <w:tbl>
      <w:tblPr>
        <w:tblStyle w:val="TableGrid"/>
        <w:tblW w:w="0" w:type="auto"/>
        <w:tblLook w:val="04A0" w:firstRow="1" w:lastRow="0" w:firstColumn="1" w:lastColumn="0" w:noHBand="0" w:noVBand="1"/>
      </w:tblPr>
      <w:tblGrid>
        <w:gridCol w:w="5392"/>
        <w:gridCol w:w="5398"/>
      </w:tblGrid>
      <w:tr w:rsidR="00B61DF0" w:rsidTr="00B61DF0">
        <w:tc>
          <w:tcPr>
            <w:tcW w:w="11016" w:type="dxa"/>
            <w:gridSpan w:val="2"/>
            <w:tcBorders>
              <w:bottom w:val="single" w:sz="4" w:space="0" w:color="auto"/>
            </w:tcBorders>
            <w:shd w:val="clear" w:color="auto" w:fill="548DD4" w:themeFill="text2" w:themeFillTint="99"/>
          </w:tcPr>
          <w:p w:rsidR="00B61DF0" w:rsidRPr="00B61DF0" w:rsidRDefault="00B61DF0" w:rsidP="000A53FA">
            <w:pPr>
              <w:jc w:val="center"/>
              <w:rPr>
                <w:b/>
                <w:sz w:val="32"/>
                <w:szCs w:val="32"/>
              </w:rPr>
            </w:pPr>
            <w:r w:rsidRPr="00B61DF0">
              <w:rPr>
                <w:b/>
                <w:sz w:val="32"/>
                <w:szCs w:val="32"/>
              </w:rPr>
              <w:t>ENGLISH</w:t>
            </w:r>
          </w:p>
        </w:tc>
      </w:tr>
      <w:tr w:rsidR="00B61DF0" w:rsidTr="00B61DF0">
        <w:tc>
          <w:tcPr>
            <w:tcW w:w="5508" w:type="dxa"/>
            <w:shd w:val="clear" w:color="auto" w:fill="C6D9F1" w:themeFill="text2" w:themeFillTint="33"/>
          </w:tcPr>
          <w:p w:rsidR="00B61DF0" w:rsidRPr="00B61DF0" w:rsidRDefault="00B61DF0" w:rsidP="000A53FA">
            <w:pPr>
              <w:jc w:val="center"/>
              <w:rPr>
                <w:b/>
              </w:rPr>
            </w:pPr>
            <w:r w:rsidRPr="00B61DF0">
              <w:rPr>
                <w:b/>
              </w:rPr>
              <w:t>Speaking &amp; Listening</w:t>
            </w:r>
          </w:p>
        </w:tc>
        <w:tc>
          <w:tcPr>
            <w:tcW w:w="5508" w:type="dxa"/>
            <w:shd w:val="clear" w:color="auto" w:fill="C6D9F1" w:themeFill="text2" w:themeFillTint="33"/>
          </w:tcPr>
          <w:p w:rsidR="00B61DF0" w:rsidRPr="00B61DF0" w:rsidRDefault="00B61DF0" w:rsidP="000A53FA">
            <w:pPr>
              <w:jc w:val="center"/>
              <w:rPr>
                <w:b/>
              </w:rPr>
            </w:pPr>
            <w:r w:rsidRPr="00B61DF0">
              <w:rPr>
                <w:b/>
              </w:rPr>
              <w:t>Reading &amp; Responding</w:t>
            </w:r>
          </w:p>
        </w:tc>
      </w:tr>
      <w:tr w:rsidR="00B61DF0" w:rsidTr="00B61DF0">
        <w:tc>
          <w:tcPr>
            <w:tcW w:w="5508" w:type="dxa"/>
            <w:tcBorders>
              <w:bottom w:val="single" w:sz="4" w:space="0" w:color="auto"/>
            </w:tcBorders>
          </w:tcPr>
          <w:p w:rsidR="00B61DF0" w:rsidRPr="00B61DF0" w:rsidRDefault="00B61DF0" w:rsidP="000A53FA">
            <w:r w:rsidRPr="00B61DF0">
              <w:t xml:space="preserve">Students develop their speaking and listening skills by participating in a range of guided activities. Students will: </w:t>
            </w:r>
          </w:p>
          <w:p w:rsidR="00B61DF0" w:rsidRPr="00B61DF0" w:rsidRDefault="00B61DF0" w:rsidP="000A53FA">
            <w:pPr>
              <w:pStyle w:val="ListParagraph"/>
              <w:numPr>
                <w:ilvl w:val="0"/>
                <w:numId w:val="1"/>
              </w:numPr>
              <w:ind w:left="426" w:hanging="284"/>
            </w:pPr>
            <w:r w:rsidRPr="00B61DF0">
              <w:t xml:space="preserve">make relevant contributions to class discussions and ask questions to clarify meaning </w:t>
            </w:r>
          </w:p>
          <w:p w:rsidR="00B61DF0" w:rsidRPr="00B61DF0" w:rsidRDefault="00B61DF0" w:rsidP="000A53FA">
            <w:pPr>
              <w:pStyle w:val="ListParagraph"/>
              <w:numPr>
                <w:ilvl w:val="0"/>
                <w:numId w:val="1"/>
              </w:numPr>
              <w:ind w:left="426" w:hanging="284"/>
            </w:pPr>
            <w:r w:rsidRPr="00B61DF0">
              <w:t xml:space="preserve">compose sentences effectively using basic grammatical features </w:t>
            </w:r>
          </w:p>
          <w:p w:rsidR="00B61DF0" w:rsidRPr="00B61DF0" w:rsidRDefault="00B61DF0" w:rsidP="000A53FA">
            <w:pPr>
              <w:pStyle w:val="ListParagraph"/>
              <w:numPr>
                <w:ilvl w:val="0"/>
                <w:numId w:val="1"/>
              </w:numPr>
              <w:ind w:left="426" w:hanging="284"/>
            </w:pPr>
            <w:r w:rsidRPr="00B61DF0">
              <w:t xml:space="preserve">show respect for the contributions of others during discussions </w:t>
            </w:r>
          </w:p>
          <w:p w:rsidR="00B61DF0" w:rsidRPr="00B61DF0" w:rsidRDefault="00B61DF0" w:rsidP="000A53FA">
            <w:pPr>
              <w:pStyle w:val="ListParagraph"/>
              <w:numPr>
                <w:ilvl w:val="0"/>
                <w:numId w:val="1"/>
              </w:numPr>
              <w:ind w:left="426" w:hanging="284"/>
            </w:pPr>
            <w:proofErr w:type="gramStart"/>
            <w:r w:rsidRPr="00B61DF0">
              <w:t>deliver</w:t>
            </w:r>
            <w:proofErr w:type="gramEnd"/>
            <w:r w:rsidRPr="00B61DF0">
              <w:t xml:space="preserve"> formal speeches using palm cards.</w:t>
            </w:r>
          </w:p>
        </w:tc>
        <w:tc>
          <w:tcPr>
            <w:tcW w:w="5508" w:type="dxa"/>
            <w:tcBorders>
              <w:bottom w:val="single" w:sz="4" w:space="0" w:color="auto"/>
            </w:tcBorders>
          </w:tcPr>
          <w:p w:rsidR="00B61DF0" w:rsidRPr="00B61DF0" w:rsidRDefault="00B61DF0" w:rsidP="000A53FA">
            <w:r w:rsidRPr="00B61DF0">
              <w:t xml:space="preserve">During guided reading, students will work on fluency and accuracy by using a range of strategies. They will: </w:t>
            </w:r>
          </w:p>
          <w:p w:rsidR="00B61DF0" w:rsidRPr="00B61DF0" w:rsidRDefault="00B61DF0" w:rsidP="000A53FA">
            <w:pPr>
              <w:pStyle w:val="ListParagraph"/>
              <w:numPr>
                <w:ilvl w:val="0"/>
                <w:numId w:val="1"/>
              </w:numPr>
              <w:ind w:left="426" w:hanging="284"/>
            </w:pPr>
            <w:r w:rsidRPr="00B61DF0">
              <w:t xml:space="preserve">demonstrate increased fluency by </w:t>
            </w:r>
            <w:proofErr w:type="spellStart"/>
            <w:r w:rsidRPr="00B61DF0">
              <w:t>recognising</w:t>
            </w:r>
            <w:proofErr w:type="spellEnd"/>
            <w:r w:rsidRPr="00B61DF0">
              <w:t xml:space="preserve"> and decoding words when reading familiar texts</w:t>
            </w:r>
          </w:p>
          <w:p w:rsidR="00B61DF0" w:rsidRPr="00B61DF0" w:rsidRDefault="00B61DF0" w:rsidP="000A53FA">
            <w:pPr>
              <w:pStyle w:val="ListParagraph"/>
              <w:numPr>
                <w:ilvl w:val="0"/>
                <w:numId w:val="1"/>
              </w:numPr>
              <w:ind w:left="426" w:hanging="284"/>
            </w:pPr>
            <w:proofErr w:type="spellStart"/>
            <w:r w:rsidRPr="00B61DF0">
              <w:t>recognise</w:t>
            </w:r>
            <w:proofErr w:type="spellEnd"/>
            <w:r w:rsidRPr="00B61DF0">
              <w:t xml:space="preserve"> when meaning is disrupted and attempt to self correct when reading </w:t>
            </w:r>
          </w:p>
          <w:p w:rsidR="00B61DF0" w:rsidRPr="00B61DF0" w:rsidRDefault="00B61DF0" w:rsidP="000A53FA">
            <w:pPr>
              <w:pStyle w:val="ListParagraph"/>
              <w:numPr>
                <w:ilvl w:val="0"/>
                <w:numId w:val="1"/>
              </w:numPr>
              <w:ind w:left="426" w:hanging="284"/>
            </w:pPr>
            <w:proofErr w:type="gramStart"/>
            <w:r w:rsidRPr="00B61DF0">
              <w:t>use</w:t>
            </w:r>
            <w:proofErr w:type="gramEnd"/>
            <w:r w:rsidRPr="00B61DF0">
              <w:t xml:space="preserve"> comprehension strategies to build meaning.</w:t>
            </w:r>
          </w:p>
          <w:p w:rsidR="00B61DF0" w:rsidRPr="00B61DF0" w:rsidRDefault="00B61DF0" w:rsidP="000A53FA"/>
          <w:p w:rsidR="00B61DF0" w:rsidRPr="00B61DF0" w:rsidRDefault="00B61DF0" w:rsidP="000A53FA">
            <w:r w:rsidRPr="00B61DF0">
              <w:t>Students will be involved in shared reading of picture books, where the teacher will explicitly model the skills of proficient readers, including reading with fluency and expression. Students will participate in activities surrounding the text which aim to increase their skills in grammar, comprehension and imagination.</w:t>
            </w:r>
          </w:p>
        </w:tc>
      </w:tr>
      <w:tr w:rsidR="00B61DF0" w:rsidTr="00B61DF0">
        <w:tc>
          <w:tcPr>
            <w:tcW w:w="5508" w:type="dxa"/>
            <w:shd w:val="clear" w:color="auto" w:fill="C6D9F1" w:themeFill="text2" w:themeFillTint="33"/>
          </w:tcPr>
          <w:p w:rsidR="00B61DF0" w:rsidRPr="00B61DF0" w:rsidRDefault="00B61DF0" w:rsidP="000A53FA">
            <w:pPr>
              <w:jc w:val="center"/>
              <w:rPr>
                <w:b/>
              </w:rPr>
            </w:pPr>
            <w:r w:rsidRPr="00B61DF0">
              <w:rPr>
                <w:b/>
              </w:rPr>
              <w:t>Writing &amp; Representing</w:t>
            </w:r>
          </w:p>
        </w:tc>
        <w:tc>
          <w:tcPr>
            <w:tcW w:w="5508" w:type="dxa"/>
            <w:shd w:val="clear" w:color="auto" w:fill="C6D9F1" w:themeFill="text2" w:themeFillTint="33"/>
          </w:tcPr>
          <w:p w:rsidR="00B61DF0" w:rsidRPr="00B61DF0" w:rsidRDefault="00B61DF0" w:rsidP="000A53FA">
            <w:pPr>
              <w:jc w:val="center"/>
              <w:rPr>
                <w:b/>
              </w:rPr>
            </w:pPr>
            <w:r w:rsidRPr="00B61DF0">
              <w:rPr>
                <w:b/>
              </w:rPr>
              <w:t>Spelling</w:t>
            </w:r>
          </w:p>
        </w:tc>
      </w:tr>
      <w:tr w:rsidR="00B61DF0" w:rsidTr="00B61DF0">
        <w:tc>
          <w:tcPr>
            <w:tcW w:w="5508" w:type="dxa"/>
            <w:tcBorders>
              <w:bottom w:val="single" w:sz="4" w:space="0" w:color="auto"/>
            </w:tcBorders>
          </w:tcPr>
          <w:p w:rsidR="00B61DF0" w:rsidRPr="001310F2" w:rsidRDefault="00B61DF0" w:rsidP="000A53FA">
            <w:pPr>
              <w:rPr>
                <w:b/>
              </w:rPr>
            </w:pPr>
            <w:r>
              <w:t xml:space="preserve">Students will participate in </w:t>
            </w:r>
            <w:r w:rsidR="006F63D4">
              <w:t>modeled</w:t>
            </w:r>
            <w:r>
              <w:t xml:space="preserve">, guided and independent writing activities each week. This term’s focus will be </w:t>
            </w:r>
            <w:r w:rsidRPr="00722D11">
              <w:rPr>
                <w:b/>
              </w:rPr>
              <w:t>Imaginative texts</w:t>
            </w:r>
            <w:r w:rsidR="006F63D4">
              <w:rPr>
                <w:b/>
              </w:rPr>
              <w:t xml:space="preserve">, </w:t>
            </w:r>
            <w:r w:rsidR="006F63D4">
              <w:t xml:space="preserve">taught through Quality Literature units, and </w:t>
            </w:r>
            <w:r w:rsidRPr="001310F2">
              <w:t>students will create simple stories with visuals</w:t>
            </w:r>
            <w:r>
              <w:t>.</w:t>
            </w:r>
          </w:p>
          <w:p w:rsidR="00B61DF0" w:rsidRDefault="00B61DF0" w:rsidP="000A53FA"/>
          <w:p w:rsidR="00B61DF0" w:rsidRDefault="00B61DF0" w:rsidP="000A53FA">
            <w:r w:rsidRPr="00722D11">
              <w:rPr>
                <w:u w:val="single"/>
              </w:rPr>
              <w:t>Grammar, Punctuation and Vocabulary</w:t>
            </w:r>
            <w:r>
              <w:t xml:space="preserve"> </w:t>
            </w:r>
          </w:p>
          <w:p w:rsidR="00B61DF0" w:rsidRDefault="00B61DF0" w:rsidP="000A53FA">
            <w:r>
              <w:t xml:space="preserve">Students will learn about </w:t>
            </w:r>
            <w:r w:rsidRPr="001310F2">
              <w:t xml:space="preserve">the grammar required for the texts </w:t>
            </w:r>
            <w:r>
              <w:t>they are creating in writing.</w:t>
            </w:r>
          </w:p>
        </w:tc>
        <w:tc>
          <w:tcPr>
            <w:tcW w:w="5508" w:type="dxa"/>
            <w:tcBorders>
              <w:bottom w:val="single" w:sz="4" w:space="0" w:color="auto"/>
            </w:tcBorders>
          </w:tcPr>
          <w:p w:rsidR="00B61DF0" w:rsidRDefault="00B61DF0" w:rsidP="000A53FA">
            <w:r>
              <w:t xml:space="preserve">Spelling will include phonemic spelling patterns, sight word lists and theme words. </w:t>
            </w:r>
          </w:p>
          <w:p w:rsidR="00B61DF0" w:rsidRDefault="00B61DF0" w:rsidP="000A53FA">
            <w:pPr>
              <w:pStyle w:val="ListParagraph"/>
              <w:numPr>
                <w:ilvl w:val="0"/>
                <w:numId w:val="1"/>
              </w:numPr>
              <w:ind w:left="426" w:hanging="284"/>
            </w:pPr>
            <w:r>
              <w:t>Students will learn about letter-sound relationships, and how to use these to read words (including understanding of the blending process).</w:t>
            </w:r>
          </w:p>
          <w:p w:rsidR="00B61DF0" w:rsidRDefault="00B61DF0" w:rsidP="000A53FA">
            <w:r>
              <w:t xml:space="preserve">Phonemes and blends taught this term include: </w:t>
            </w:r>
          </w:p>
          <w:p w:rsidR="00B61DF0" w:rsidRDefault="00B61DF0" w:rsidP="000A53FA">
            <w:pPr>
              <w:pStyle w:val="ListParagraph"/>
              <w:numPr>
                <w:ilvl w:val="0"/>
                <w:numId w:val="1"/>
              </w:numPr>
              <w:ind w:left="426" w:hanging="284"/>
            </w:pPr>
            <w:r>
              <w:t xml:space="preserve">CVC (Consonant, Vowel, Consonant) words </w:t>
            </w:r>
            <w:proofErr w:type="spellStart"/>
            <w:r>
              <w:t>eg</w:t>
            </w:r>
            <w:proofErr w:type="spellEnd"/>
            <w:r>
              <w:t xml:space="preserve"> pan, cut, bags</w:t>
            </w:r>
          </w:p>
          <w:p w:rsidR="00B61DF0" w:rsidRDefault="00B61DF0" w:rsidP="000A53FA">
            <w:pPr>
              <w:pStyle w:val="ListParagraph"/>
              <w:numPr>
                <w:ilvl w:val="0"/>
                <w:numId w:val="1"/>
              </w:numPr>
              <w:ind w:left="426" w:hanging="284"/>
            </w:pPr>
            <w:r>
              <w:t>Consonant diagraphs (two or three letters that come together to make a sound):  ‘</w:t>
            </w:r>
            <w:proofErr w:type="spellStart"/>
            <w:r>
              <w:t>sh</w:t>
            </w:r>
            <w:proofErr w:type="spellEnd"/>
            <w:r>
              <w:t>’, ‘</w:t>
            </w:r>
            <w:proofErr w:type="spellStart"/>
            <w:r>
              <w:t>th</w:t>
            </w:r>
            <w:proofErr w:type="spellEnd"/>
            <w:r>
              <w:t>’, ‘</w:t>
            </w:r>
            <w:proofErr w:type="spellStart"/>
            <w:r>
              <w:t>ch</w:t>
            </w:r>
            <w:proofErr w:type="spellEnd"/>
            <w:r>
              <w:t>’, ‘</w:t>
            </w:r>
            <w:proofErr w:type="spellStart"/>
            <w:r>
              <w:t>wh</w:t>
            </w:r>
            <w:proofErr w:type="spellEnd"/>
            <w:r>
              <w:t>’</w:t>
            </w:r>
          </w:p>
          <w:p w:rsidR="00B61DF0" w:rsidRDefault="00B61DF0" w:rsidP="000A53FA">
            <w:pPr>
              <w:pStyle w:val="ListParagraph"/>
              <w:numPr>
                <w:ilvl w:val="0"/>
                <w:numId w:val="1"/>
              </w:numPr>
              <w:ind w:left="426" w:hanging="284"/>
            </w:pPr>
            <w:r>
              <w:t xml:space="preserve">Consonant initial blends (blending two letters at the start of a word: </w:t>
            </w:r>
            <w:r w:rsidRPr="00734E65">
              <w:t>‘</w:t>
            </w:r>
            <w:proofErr w:type="spellStart"/>
            <w:r w:rsidRPr="00734E65">
              <w:t>bl</w:t>
            </w:r>
            <w:proofErr w:type="spellEnd"/>
            <w:r w:rsidRPr="00734E65">
              <w:t>’</w:t>
            </w:r>
            <w:r>
              <w:t>, ‘cl’, ‘</w:t>
            </w:r>
            <w:proofErr w:type="spellStart"/>
            <w:r>
              <w:t>br</w:t>
            </w:r>
            <w:proofErr w:type="spellEnd"/>
            <w:r>
              <w:t>’, ‘</w:t>
            </w:r>
            <w:proofErr w:type="spellStart"/>
            <w:r>
              <w:t>cr</w:t>
            </w:r>
            <w:proofErr w:type="spellEnd"/>
            <w:r>
              <w:t>’</w:t>
            </w:r>
          </w:p>
          <w:p w:rsidR="00B61DF0" w:rsidRDefault="00B61DF0" w:rsidP="000A53FA">
            <w:pPr>
              <w:pStyle w:val="ListParagraph"/>
              <w:numPr>
                <w:ilvl w:val="0"/>
                <w:numId w:val="1"/>
              </w:numPr>
              <w:ind w:left="426" w:hanging="284"/>
            </w:pPr>
            <w:r>
              <w:t>Middle letter patterns: ‘</w:t>
            </w:r>
            <w:proofErr w:type="spellStart"/>
            <w:r>
              <w:t>oo</w:t>
            </w:r>
            <w:proofErr w:type="spellEnd"/>
            <w:r>
              <w:t>’, ‘</w:t>
            </w:r>
            <w:proofErr w:type="spellStart"/>
            <w:r>
              <w:t>ea</w:t>
            </w:r>
            <w:proofErr w:type="spellEnd"/>
            <w:r>
              <w:t>’, ‘</w:t>
            </w:r>
            <w:proofErr w:type="spellStart"/>
            <w:r>
              <w:t>ee</w:t>
            </w:r>
            <w:proofErr w:type="spellEnd"/>
            <w:r>
              <w:t>’</w:t>
            </w:r>
          </w:p>
          <w:p w:rsidR="00B61DF0" w:rsidRDefault="00B61DF0" w:rsidP="000A53FA">
            <w:pPr>
              <w:pStyle w:val="ListParagraph"/>
              <w:numPr>
                <w:ilvl w:val="0"/>
                <w:numId w:val="1"/>
              </w:numPr>
              <w:ind w:left="426" w:hanging="284"/>
            </w:pPr>
            <w:r>
              <w:t>VCC word endings (Vowel, Consonant, Consonant). Words ending in ‘all’ and ‘</w:t>
            </w:r>
            <w:proofErr w:type="spellStart"/>
            <w:r>
              <w:t>ing</w:t>
            </w:r>
            <w:proofErr w:type="spellEnd"/>
            <w:r>
              <w:t>’.</w:t>
            </w:r>
          </w:p>
          <w:p w:rsidR="00B61DF0" w:rsidRDefault="00B61DF0" w:rsidP="00B61DF0">
            <w:pPr>
              <w:pStyle w:val="ListParagraph"/>
              <w:ind w:left="426"/>
            </w:pPr>
          </w:p>
        </w:tc>
      </w:tr>
      <w:tr w:rsidR="00B61DF0" w:rsidTr="006F63D4">
        <w:tc>
          <w:tcPr>
            <w:tcW w:w="11016" w:type="dxa"/>
            <w:gridSpan w:val="2"/>
            <w:tcBorders>
              <w:bottom w:val="single" w:sz="4" w:space="0" w:color="auto"/>
            </w:tcBorders>
            <w:shd w:val="clear" w:color="auto" w:fill="00CC00"/>
          </w:tcPr>
          <w:p w:rsidR="00B61DF0" w:rsidRDefault="00B61DF0" w:rsidP="000A53FA">
            <w:pPr>
              <w:jc w:val="center"/>
            </w:pPr>
            <w:r w:rsidRPr="000A5EFC">
              <w:rPr>
                <w:b/>
                <w:sz w:val="32"/>
                <w:szCs w:val="32"/>
              </w:rPr>
              <w:t>MATHEMATICS</w:t>
            </w:r>
          </w:p>
        </w:tc>
      </w:tr>
      <w:tr w:rsidR="006F63D4" w:rsidTr="006F63D4">
        <w:tc>
          <w:tcPr>
            <w:tcW w:w="11016" w:type="dxa"/>
            <w:gridSpan w:val="2"/>
            <w:shd w:val="clear" w:color="auto" w:fill="FFFFFF" w:themeFill="background1"/>
          </w:tcPr>
          <w:p w:rsidR="006F63D4" w:rsidRDefault="006F63D4" w:rsidP="006F63D4">
            <w:r w:rsidRPr="006F63D4">
              <w:t xml:space="preserve">Students will complete a collaborative </w:t>
            </w:r>
            <w:proofErr w:type="spellStart"/>
            <w:r w:rsidRPr="006F63D4">
              <w:t>iMaths</w:t>
            </w:r>
            <w:proofErr w:type="spellEnd"/>
            <w:r w:rsidRPr="006F63D4">
              <w:t xml:space="preserve"> investigation during the term.</w:t>
            </w:r>
          </w:p>
          <w:p w:rsidR="006F63D4" w:rsidRPr="006F63D4" w:rsidRDefault="006F63D4" w:rsidP="006F63D4"/>
        </w:tc>
      </w:tr>
      <w:tr w:rsidR="00B61DF0" w:rsidTr="000A5EFC">
        <w:tc>
          <w:tcPr>
            <w:tcW w:w="11016" w:type="dxa"/>
            <w:gridSpan w:val="2"/>
            <w:shd w:val="clear" w:color="auto" w:fill="B8F2B4"/>
          </w:tcPr>
          <w:p w:rsidR="00B61DF0" w:rsidRPr="000A5EFC" w:rsidRDefault="00B61DF0" w:rsidP="000A53FA">
            <w:pPr>
              <w:jc w:val="center"/>
              <w:rPr>
                <w:b/>
              </w:rPr>
            </w:pPr>
            <w:r w:rsidRPr="000A5EFC">
              <w:rPr>
                <w:b/>
              </w:rPr>
              <w:t>Number &amp; Algebra</w:t>
            </w:r>
          </w:p>
        </w:tc>
      </w:tr>
      <w:tr w:rsidR="00B61DF0" w:rsidTr="000A5EFC">
        <w:tc>
          <w:tcPr>
            <w:tcW w:w="11016" w:type="dxa"/>
            <w:gridSpan w:val="2"/>
            <w:tcBorders>
              <w:bottom w:val="single" w:sz="4" w:space="0" w:color="auto"/>
            </w:tcBorders>
          </w:tcPr>
          <w:p w:rsidR="00B61DF0" w:rsidRDefault="00B61DF0" w:rsidP="000A53FA">
            <w:r>
              <w:t xml:space="preserve">Students will be focusing on the following: </w:t>
            </w:r>
          </w:p>
          <w:p w:rsidR="00B61DF0" w:rsidRDefault="00B61DF0" w:rsidP="000A53FA">
            <w:pPr>
              <w:pStyle w:val="ListParagraph"/>
              <w:numPr>
                <w:ilvl w:val="0"/>
                <w:numId w:val="1"/>
              </w:numPr>
              <w:ind w:left="426" w:hanging="284"/>
            </w:pPr>
            <w:r>
              <w:t xml:space="preserve">Whole Numbers: counting forwards and backwards by ones from a given number, </w:t>
            </w:r>
            <w:r w:rsidRPr="00D448D6">
              <w:t xml:space="preserve">use place value to partition </w:t>
            </w:r>
            <w:r>
              <w:t>numbers,  and locating</w:t>
            </w:r>
            <w:r w:rsidRPr="00610B96">
              <w:t>, read</w:t>
            </w:r>
            <w:r>
              <w:t>ing</w:t>
            </w:r>
            <w:r w:rsidRPr="00610B96">
              <w:t>, writ</w:t>
            </w:r>
            <w:r>
              <w:t>ing</w:t>
            </w:r>
            <w:r w:rsidRPr="00610B96">
              <w:t xml:space="preserve"> and order</w:t>
            </w:r>
            <w:r>
              <w:t>ing</w:t>
            </w:r>
            <w:r w:rsidRPr="00610B96">
              <w:t xml:space="preserve"> numbers on a number line</w:t>
            </w:r>
          </w:p>
          <w:p w:rsidR="00B61DF0" w:rsidRDefault="00B61DF0" w:rsidP="000A53FA">
            <w:pPr>
              <w:pStyle w:val="ListParagraph"/>
              <w:numPr>
                <w:ilvl w:val="0"/>
                <w:numId w:val="1"/>
              </w:numPr>
              <w:ind w:left="426" w:hanging="284"/>
            </w:pPr>
            <w:r>
              <w:t>Addition and Subtraction: using a range of mental strategies to solve problems, such as counting on, counting back and bridging to 10</w:t>
            </w:r>
          </w:p>
          <w:p w:rsidR="00B61DF0" w:rsidRDefault="00B61DF0" w:rsidP="000A53FA">
            <w:pPr>
              <w:pStyle w:val="ListParagraph"/>
              <w:numPr>
                <w:ilvl w:val="0"/>
                <w:numId w:val="1"/>
              </w:numPr>
              <w:ind w:left="426" w:hanging="284"/>
            </w:pPr>
            <w:r w:rsidRPr="00960A9A">
              <w:t>Multiplication and Division</w:t>
            </w:r>
            <w:r>
              <w:t>: s</w:t>
            </w:r>
            <w:r w:rsidRPr="00610B96">
              <w:t>kip count</w:t>
            </w:r>
            <w:r>
              <w:t>ing</w:t>
            </w:r>
            <w:r w:rsidRPr="00610B96">
              <w:t xml:space="preserve"> by twos, fives and tens starting from zero</w:t>
            </w:r>
            <w:r>
              <w:t>, and using</w:t>
            </w:r>
            <w:r w:rsidRPr="00610B96">
              <w:t xml:space="preserve"> equal groups of objects as a strategy for multiplication</w:t>
            </w:r>
            <w:r>
              <w:t xml:space="preserve"> and division.</w:t>
            </w:r>
          </w:p>
          <w:p w:rsidR="00B61DF0" w:rsidRDefault="00B61DF0" w:rsidP="000A53FA">
            <w:pPr>
              <w:pStyle w:val="ListParagraph"/>
              <w:numPr>
                <w:ilvl w:val="0"/>
                <w:numId w:val="1"/>
              </w:numPr>
              <w:ind w:left="426" w:hanging="284"/>
            </w:pPr>
            <w:r>
              <w:t xml:space="preserve">Fractions and Decimals: describing </w:t>
            </w:r>
            <w:r w:rsidRPr="00610B96">
              <w:t xml:space="preserve">one-half </w:t>
            </w:r>
            <w:r>
              <w:t>and one-quarter of an object and of a group of objects</w:t>
            </w:r>
          </w:p>
          <w:p w:rsidR="00B61DF0" w:rsidRDefault="00B61DF0" w:rsidP="006F63D4">
            <w:pPr>
              <w:pStyle w:val="ListParagraph"/>
              <w:numPr>
                <w:ilvl w:val="0"/>
                <w:numId w:val="1"/>
              </w:numPr>
              <w:ind w:left="426" w:hanging="284"/>
            </w:pPr>
            <w:r>
              <w:t>Patterns and Algebra:  identifying</w:t>
            </w:r>
            <w:r w:rsidRPr="00610B96">
              <w:t xml:space="preserve"> and describ</w:t>
            </w:r>
            <w:r>
              <w:t>ing number</w:t>
            </w:r>
            <w:r w:rsidRPr="00610B96">
              <w:t xml:space="preserve"> patterns when skip counting forwards or backwards by ones, twos, fives and tens</w:t>
            </w:r>
            <w:r>
              <w:t>.</w:t>
            </w:r>
          </w:p>
        </w:tc>
      </w:tr>
    </w:tbl>
    <w:p w:rsidR="000A5EFC" w:rsidRDefault="000A5EFC">
      <w:r>
        <w:br w:type="page"/>
      </w:r>
    </w:p>
    <w:tbl>
      <w:tblPr>
        <w:tblStyle w:val="TableGrid"/>
        <w:tblW w:w="0" w:type="auto"/>
        <w:tblLook w:val="04A0" w:firstRow="1" w:lastRow="0" w:firstColumn="1" w:lastColumn="0" w:noHBand="0" w:noVBand="1"/>
      </w:tblPr>
      <w:tblGrid>
        <w:gridCol w:w="3599"/>
        <w:gridCol w:w="3589"/>
        <w:gridCol w:w="3602"/>
      </w:tblGrid>
      <w:tr w:rsidR="00B61DF0" w:rsidTr="000A5EFC">
        <w:tc>
          <w:tcPr>
            <w:tcW w:w="11016" w:type="dxa"/>
            <w:gridSpan w:val="3"/>
            <w:shd w:val="clear" w:color="auto" w:fill="B8F2B4"/>
          </w:tcPr>
          <w:p w:rsidR="00B61DF0" w:rsidRDefault="00B61DF0" w:rsidP="000A53FA">
            <w:pPr>
              <w:jc w:val="center"/>
            </w:pPr>
            <w:r w:rsidRPr="000A5EFC">
              <w:rPr>
                <w:b/>
              </w:rPr>
              <w:lastRenderedPageBreak/>
              <w:t>Measurement &amp; Geometry</w:t>
            </w:r>
          </w:p>
        </w:tc>
      </w:tr>
      <w:tr w:rsidR="00B61DF0" w:rsidTr="000A5EFC">
        <w:tc>
          <w:tcPr>
            <w:tcW w:w="11016" w:type="dxa"/>
            <w:gridSpan w:val="3"/>
            <w:tcBorders>
              <w:bottom w:val="single" w:sz="4" w:space="0" w:color="auto"/>
            </w:tcBorders>
          </w:tcPr>
          <w:p w:rsidR="00B61DF0" w:rsidRDefault="00B61DF0" w:rsidP="000A53FA">
            <w:r>
              <w:t xml:space="preserve">In Measurement and Geometry, students will focus on: </w:t>
            </w:r>
          </w:p>
          <w:p w:rsidR="00B61DF0" w:rsidRDefault="00B61DF0" w:rsidP="000A53FA">
            <w:pPr>
              <w:pStyle w:val="ListParagraph"/>
              <w:numPr>
                <w:ilvl w:val="0"/>
                <w:numId w:val="1"/>
              </w:numPr>
              <w:ind w:left="426" w:hanging="284"/>
            </w:pPr>
            <w:r>
              <w:t>Two- dimensional shapes: identifying and describing</w:t>
            </w:r>
            <w:r w:rsidRPr="00C1270B">
              <w:t xml:space="preserve"> features of two-dimensional shapes, including triangles, quadrilaterals, pentagons, hexagons and octagons</w:t>
            </w:r>
          </w:p>
          <w:p w:rsidR="00B61DF0" w:rsidRDefault="00B61DF0" w:rsidP="000A53FA">
            <w:pPr>
              <w:pStyle w:val="ListParagraph"/>
              <w:numPr>
                <w:ilvl w:val="0"/>
                <w:numId w:val="1"/>
              </w:numPr>
              <w:ind w:left="426" w:hanging="284"/>
            </w:pPr>
            <w:r>
              <w:t>Three-dimensional objects: naming</w:t>
            </w:r>
            <w:r w:rsidRPr="00C1270B">
              <w:t xml:space="preserve"> </w:t>
            </w:r>
            <w:r>
              <w:t xml:space="preserve">and describing the properties of </w:t>
            </w:r>
            <w:r w:rsidRPr="00C1270B">
              <w:t>three-dimensional objects, including cones, cubes, cylinders, spheres and prisms</w:t>
            </w:r>
          </w:p>
          <w:p w:rsidR="00B61DF0" w:rsidRDefault="00B61DF0" w:rsidP="000A53FA">
            <w:pPr>
              <w:pStyle w:val="ListParagraph"/>
              <w:numPr>
                <w:ilvl w:val="0"/>
                <w:numId w:val="1"/>
              </w:numPr>
              <w:ind w:left="426" w:hanging="284"/>
            </w:pPr>
            <w:r>
              <w:t>Length: m</w:t>
            </w:r>
            <w:r w:rsidRPr="00960A9A">
              <w:t>easur</w:t>
            </w:r>
            <w:r>
              <w:t>ing and comparing</w:t>
            </w:r>
            <w:r w:rsidRPr="00960A9A">
              <w:t xml:space="preserve"> the lengths of pairs of objects using informal units</w:t>
            </w:r>
            <w:r>
              <w:t>, such as hand spans or paper clips.</w:t>
            </w:r>
          </w:p>
          <w:p w:rsidR="00B61DF0" w:rsidRDefault="00B61DF0" w:rsidP="000A53FA">
            <w:pPr>
              <w:pStyle w:val="ListParagraph"/>
              <w:numPr>
                <w:ilvl w:val="0"/>
                <w:numId w:val="1"/>
              </w:numPr>
              <w:ind w:left="426" w:hanging="284"/>
            </w:pPr>
            <w:r>
              <w:t>Time:  naming and ordering the months of the year, the number of days in a month, recall the seasons and learn to use a calendar</w:t>
            </w:r>
          </w:p>
          <w:p w:rsidR="00B61DF0" w:rsidRDefault="00B61DF0" w:rsidP="000A53FA">
            <w:pPr>
              <w:pStyle w:val="ListParagraph"/>
              <w:numPr>
                <w:ilvl w:val="0"/>
                <w:numId w:val="1"/>
              </w:numPr>
              <w:ind w:left="426" w:hanging="284"/>
            </w:pPr>
            <w:r>
              <w:t xml:space="preserve">Position: </w:t>
            </w:r>
            <w:r w:rsidRPr="00C1270B">
              <w:t>follow</w:t>
            </w:r>
            <w:r>
              <w:t>ing</w:t>
            </w:r>
            <w:r w:rsidRPr="00C1270B">
              <w:t xml:space="preserve"> directions to familiar locations</w:t>
            </w:r>
            <w:r>
              <w:t xml:space="preserve">, using terms as left, right and between. Students will also learn how to </w:t>
            </w:r>
            <w:r w:rsidRPr="00C1270B">
              <w:t>describe the path from one location to another on drawings</w:t>
            </w:r>
            <w:r>
              <w:t xml:space="preserve">. </w:t>
            </w:r>
          </w:p>
          <w:p w:rsidR="00B61DF0" w:rsidRDefault="00B61DF0" w:rsidP="000A53FA">
            <w:pPr>
              <w:pStyle w:val="ListParagraph"/>
              <w:ind w:left="426"/>
            </w:pPr>
          </w:p>
        </w:tc>
      </w:tr>
      <w:tr w:rsidR="00B61DF0" w:rsidTr="000A5EFC">
        <w:tc>
          <w:tcPr>
            <w:tcW w:w="11016" w:type="dxa"/>
            <w:gridSpan w:val="3"/>
            <w:shd w:val="clear" w:color="auto" w:fill="E5B8B7" w:themeFill="accent2" w:themeFillTint="66"/>
          </w:tcPr>
          <w:p w:rsidR="00B61DF0" w:rsidRPr="000A5EFC" w:rsidRDefault="00B61DF0" w:rsidP="000A53FA">
            <w:pPr>
              <w:jc w:val="center"/>
              <w:rPr>
                <w:b/>
                <w:sz w:val="32"/>
                <w:szCs w:val="32"/>
              </w:rPr>
            </w:pPr>
            <w:r w:rsidRPr="000A5EFC">
              <w:rPr>
                <w:b/>
                <w:sz w:val="32"/>
                <w:szCs w:val="32"/>
              </w:rPr>
              <w:t>GEOGRAPHY</w:t>
            </w:r>
          </w:p>
        </w:tc>
      </w:tr>
      <w:tr w:rsidR="00B61DF0" w:rsidTr="000A5EFC">
        <w:tc>
          <w:tcPr>
            <w:tcW w:w="11016" w:type="dxa"/>
            <w:gridSpan w:val="3"/>
            <w:tcBorders>
              <w:bottom w:val="single" w:sz="4" w:space="0" w:color="auto"/>
            </w:tcBorders>
          </w:tcPr>
          <w:p w:rsidR="00B61DF0" w:rsidRDefault="00B61DF0" w:rsidP="000A53FA">
            <w:pPr>
              <w:rPr>
                <w:rFonts w:eastAsia="Times New Roman" w:cs="Helvetica"/>
                <w:color w:val="000000"/>
                <w:szCs w:val="20"/>
                <w:lang w:eastAsia="en-AU"/>
              </w:rPr>
            </w:pPr>
            <w:r>
              <w:t xml:space="preserve">Students will be investigating </w:t>
            </w:r>
            <w:r w:rsidRPr="008A44B3">
              <w:t>Australia and its place in the world</w:t>
            </w:r>
            <w:r>
              <w:t xml:space="preserve">. They will identify places that exist in terms of students personally, locally and nationally. Students will also look at Australia’s location compared to the world, and investigate the oceans surrounding countries and other </w:t>
            </w:r>
            <w:r w:rsidRPr="00CA2C7C">
              <w:rPr>
                <w:rFonts w:eastAsia="Times New Roman" w:cs="Helvetica"/>
                <w:color w:val="000000"/>
                <w:szCs w:val="20"/>
                <w:lang w:eastAsia="en-AU"/>
              </w:rPr>
              <w:t>continents</w:t>
            </w:r>
            <w:r>
              <w:rPr>
                <w:rFonts w:eastAsia="Times New Roman" w:cs="Helvetica"/>
                <w:color w:val="000000"/>
                <w:szCs w:val="20"/>
                <w:lang w:eastAsia="en-AU"/>
              </w:rPr>
              <w:t>.</w:t>
            </w:r>
          </w:p>
          <w:p w:rsidR="00B61DF0" w:rsidRDefault="00B61DF0" w:rsidP="000A53FA"/>
        </w:tc>
      </w:tr>
      <w:tr w:rsidR="00B61DF0" w:rsidTr="000A5EFC">
        <w:tc>
          <w:tcPr>
            <w:tcW w:w="11016" w:type="dxa"/>
            <w:gridSpan w:val="3"/>
            <w:shd w:val="clear" w:color="auto" w:fill="B2A1C7" w:themeFill="accent4" w:themeFillTint="99"/>
          </w:tcPr>
          <w:p w:rsidR="00B61DF0" w:rsidRDefault="00B61DF0" w:rsidP="000A53FA">
            <w:pPr>
              <w:jc w:val="center"/>
            </w:pPr>
            <w:r w:rsidRPr="000A5EFC">
              <w:rPr>
                <w:b/>
                <w:sz w:val="32"/>
                <w:szCs w:val="32"/>
              </w:rPr>
              <w:t>SCIENCE</w:t>
            </w:r>
          </w:p>
        </w:tc>
      </w:tr>
      <w:tr w:rsidR="00B61DF0" w:rsidTr="000A5EFC">
        <w:tc>
          <w:tcPr>
            <w:tcW w:w="11016" w:type="dxa"/>
            <w:gridSpan w:val="3"/>
            <w:tcBorders>
              <w:bottom w:val="single" w:sz="4" w:space="0" w:color="auto"/>
            </w:tcBorders>
          </w:tcPr>
          <w:p w:rsidR="00B61DF0" w:rsidRDefault="00B61DF0" w:rsidP="000A53FA">
            <w:r>
              <w:t xml:space="preserve">This term, students will be studying ‘Push and Pull’. </w:t>
            </w:r>
            <w:r w:rsidRPr="001310F2">
              <w:t xml:space="preserve">This unit </w:t>
            </w:r>
            <w:r>
              <w:t>provides</w:t>
            </w:r>
            <w:r w:rsidRPr="001310F2">
              <w:t xml:space="preserve"> students hands-on opportunities to explore the effect of forces upon everyday objects. They w</w:t>
            </w:r>
            <w:r>
              <w:t xml:space="preserve">ill observe how forces such as </w:t>
            </w:r>
            <w:r w:rsidRPr="001310F2">
              <w:t>pushes, pulls, friction and gravity can make objects start or stop moving and change direction.</w:t>
            </w:r>
          </w:p>
          <w:p w:rsidR="00B61DF0" w:rsidRDefault="00B61DF0" w:rsidP="000A53FA"/>
        </w:tc>
      </w:tr>
      <w:tr w:rsidR="00B61DF0" w:rsidTr="000A5EFC">
        <w:tc>
          <w:tcPr>
            <w:tcW w:w="11016" w:type="dxa"/>
            <w:gridSpan w:val="3"/>
            <w:tcBorders>
              <w:bottom w:val="single" w:sz="4" w:space="0" w:color="auto"/>
            </w:tcBorders>
            <w:shd w:val="clear" w:color="auto" w:fill="E36C0A" w:themeFill="accent6" w:themeFillShade="BF"/>
          </w:tcPr>
          <w:p w:rsidR="00B61DF0" w:rsidRDefault="00B61DF0" w:rsidP="000A53FA">
            <w:pPr>
              <w:jc w:val="center"/>
            </w:pPr>
            <w:r w:rsidRPr="000A5EFC">
              <w:rPr>
                <w:b/>
                <w:sz w:val="32"/>
                <w:szCs w:val="32"/>
              </w:rPr>
              <w:t>CREATIVE &amp; PERFOMING ARTS</w:t>
            </w:r>
          </w:p>
        </w:tc>
      </w:tr>
      <w:tr w:rsidR="00B61DF0" w:rsidRPr="000A5EFC" w:rsidTr="000A5EFC">
        <w:tc>
          <w:tcPr>
            <w:tcW w:w="3672" w:type="dxa"/>
            <w:shd w:val="clear" w:color="auto" w:fill="FBD4B4" w:themeFill="accent6" w:themeFillTint="66"/>
          </w:tcPr>
          <w:p w:rsidR="00B61DF0" w:rsidRPr="000A5EFC" w:rsidRDefault="00B61DF0" w:rsidP="000A53FA">
            <w:pPr>
              <w:jc w:val="center"/>
              <w:rPr>
                <w:b/>
              </w:rPr>
            </w:pPr>
            <w:r w:rsidRPr="000A5EFC">
              <w:rPr>
                <w:b/>
              </w:rPr>
              <w:t>Visual Arts</w:t>
            </w:r>
          </w:p>
        </w:tc>
        <w:tc>
          <w:tcPr>
            <w:tcW w:w="3672" w:type="dxa"/>
            <w:shd w:val="clear" w:color="auto" w:fill="FBD4B4" w:themeFill="accent6" w:themeFillTint="66"/>
          </w:tcPr>
          <w:p w:rsidR="00B61DF0" w:rsidRPr="000A5EFC" w:rsidRDefault="00B61DF0" w:rsidP="000A53FA">
            <w:pPr>
              <w:jc w:val="center"/>
              <w:rPr>
                <w:b/>
              </w:rPr>
            </w:pPr>
            <w:r w:rsidRPr="000A5EFC">
              <w:rPr>
                <w:b/>
              </w:rPr>
              <w:t>Dancing</w:t>
            </w:r>
          </w:p>
        </w:tc>
        <w:tc>
          <w:tcPr>
            <w:tcW w:w="3672" w:type="dxa"/>
            <w:shd w:val="clear" w:color="auto" w:fill="FBD4B4" w:themeFill="accent6" w:themeFillTint="66"/>
          </w:tcPr>
          <w:p w:rsidR="00B61DF0" w:rsidRPr="000A5EFC" w:rsidRDefault="00B61DF0" w:rsidP="000A53FA">
            <w:pPr>
              <w:jc w:val="center"/>
              <w:rPr>
                <w:b/>
              </w:rPr>
            </w:pPr>
            <w:r w:rsidRPr="000A5EFC">
              <w:rPr>
                <w:b/>
              </w:rPr>
              <w:t>Drama</w:t>
            </w:r>
          </w:p>
        </w:tc>
      </w:tr>
      <w:tr w:rsidR="00B61DF0" w:rsidTr="000A5EFC">
        <w:tc>
          <w:tcPr>
            <w:tcW w:w="3672" w:type="dxa"/>
            <w:tcBorders>
              <w:bottom w:val="single" w:sz="4" w:space="0" w:color="auto"/>
            </w:tcBorders>
          </w:tcPr>
          <w:p w:rsidR="00B61DF0" w:rsidRDefault="00B61DF0" w:rsidP="000A53FA">
            <w:r>
              <w:t>Students explore properties of different media and some of the symbols and techniques artists use in their making of art. Art activities will be based on the Science topic ‘Push and Pull’ and students will learn about portraits.</w:t>
            </w:r>
          </w:p>
        </w:tc>
        <w:tc>
          <w:tcPr>
            <w:tcW w:w="3672" w:type="dxa"/>
            <w:tcBorders>
              <w:bottom w:val="single" w:sz="4" w:space="0" w:color="auto"/>
            </w:tcBorders>
          </w:tcPr>
          <w:p w:rsidR="00B61DF0" w:rsidRDefault="00B61DF0" w:rsidP="000A53FA">
            <w:r>
              <w:t>Students will e</w:t>
            </w:r>
            <w:r w:rsidRPr="00C1270B">
              <w:t>xperience dance activities through morning fitness with their grade.</w:t>
            </w:r>
          </w:p>
        </w:tc>
        <w:tc>
          <w:tcPr>
            <w:tcW w:w="3672" w:type="dxa"/>
            <w:tcBorders>
              <w:bottom w:val="single" w:sz="4" w:space="0" w:color="auto"/>
            </w:tcBorders>
          </w:tcPr>
          <w:p w:rsidR="00B61DF0" w:rsidRDefault="00B61DF0" w:rsidP="000A53FA">
            <w:r>
              <w:t>Students will engage in drama through quality literature. They will use body language and facial expressions to create their own improvisations.</w:t>
            </w:r>
          </w:p>
        </w:tc>
      </w:tr>
      <w:tr w:rsidR="00B61DF0" w:rsidTr="000A5EFC">
        <w:tc>
          <w:tcPr>
            <w:tcW w:w="11016" w:type="dxa"/>
            <w:gridSpan w:val="3"/>
            <w:tcBorders>
              <w:bottom w:val="single" w:sz="4" w:space="0" w:color="auto"/>
            </w:tcBorders>
            <w:shd w:val="clear" w:color="auto" w:fill="FFFF00"/>
          </w:tcPr>
          <w:p w:rsidR="00B61DF0" w:rsidRDefault="00B61DF0" w:rsidP="000A53FA">
            <w:pPr>
              <w:jc w:val="center"/>
            </w:pPr>
            <w:r w:rsidRPr="000A5EFC">
              <w:rPr>
                <w:b/>
                <w:sz w:val="32"/>
                <w:szCs w:val="32"/>
              </w:rPr>
              <w:t>PDHPE</w:t>
            </w:r>
          </w:p>
        </w:tc>
      </w:tr>
      <w:tr w:rsidR="00B61DF0" w:rsidTr="000A5EFC">
        <w:tc>
          <w:tcPr>
            <w:tcW w:w="3672" w:type="dxa"/>
            <w:shd w:val="clear" w:color="auto" w:fill="FFFF99"/>
          </w:tcPr>
          <w:p w:rsidR="00B61DF0" w:rsidRPr="000A5EFC" w:rsidRDefault="00B61DF0" w:rsidP="00173DF3">
            <w:pPr>
              <w:jc w:val="center"/>
              <w:rPr>
                <w:b/>
              </w:rPr>
            </w:pPr>
            <w:r w:rsidRPr="000A5EFC">
              <w:rPr>
                <w:b/>
              </w:rPr>
              <w:t>Personal Development</w:t>
            </w:r>
          </w:p>
        </w:tc>
        <w:tc>
          <w:tcPr>
            <w:tcW w:w="3672" w:type="dxa"/>
            <w:shd w:val="clear" w:color="auto" w:fill="FFFF99"/>
          </w:tcPr>
          <w:p w:rsidR="00B61DF0" w:rsidRPr="000A5EFC" w:rsidRDefault="00B61DF0" w:rsidP="00173DF3">
            <w:pPr>
              <w:jc w:val="center"/>
              <w:rPr>
                <w:b/>
              </w:rPr>
            </w:pPr>
            <w:r w:rsidRPr="000A5EFC">
              <w:rPr>
                <w:b/>
              </w:rPr>
              <w:t>Health</w:t>
            </w:r>
          </w:p>
        </w:tc>
        <w:tc>
          <w:tcPr>
            <w:tcW w:w="3672" w:type="dxa"/>
            <w:shd w:val="clear" w:color="auto" w:fill="FFFF99"/>
          </w:tcPr>
          <w:p w:rsidR="00B61DF0" w:rsidRPr="000A5EFC" w:rsidRDefault="00B61DF0" w:rsidP="00173DF3">
            <w:pPr>
              <w:jc w:val="center"/>
              <w:rPr>
                <w:b/>
              </w:rPr>
            </w:pPr>
            <w:r w:rsidRPr="000A5EFC">
              <w:rPr>
                <w:b/>
              </w:rPr>
              <w:t>Physical Education</w:t>
            </w:r>
          </w:p>
        </w:tc>
      </w:tr>
      <w:tr w:rsidR="00B61DF0" w:rsidTr="000A53FA">
        <w:tc>
          <w:tcPr>
            <w:tcW w:w="3672" w:type="dxa"/>
          </w:tcPr>
          <w:p w:rsidR="00B61DF0" w:rsidRDefault="00B61DF0" w:rsidP="000A53FA">
            <w:pPr>
              <w:tabs>
                <w:tab w:val="left" w:pos="2190"/>
              </w:tabs>
            </w:pPr>
            <w:r w:rsidRPr="00040BDA">
              <w:rPr>
                <w:b/>
              </w:rPr>
              <w:t>Core Values:</w:t>
            </w:r>
            <w:r>
              <w:t xml:space="preserve"> Students will learn about the core values of</w:t>
            </w:r>
            <w:r w:rsidR="006F63D4">
              <w:t xml:space="preserve"> </w:t>
            </w:r>
            <w:proofErr w:type="spellStart"/>
            <w:r w:rsidR="006F63D4">
              <w:t>Hurstville</w:t>
            </w:r>
            <w:proofErr w:type="spellEnd"/>
            <w:r w:rsidR="006F63D4">
              <w:t xml:space="preserve"> Public School and o</w:t>
            </w:r>
            <w:r>
              <w:t>the</w:t>
            </w:r>
            <w:r w:rsidR="006F63D4">
              <w:t>r</w:t>
            </w:r>
            <w:r>
              <w:t xml:space="preserve"> values</w:t>
            </w:r>
            <w:r w:rsidR="006F63D4">
              <w:t xml:space="preserve">, such </w:t>
            </w:r>
            <w:r>
              <w:t>honesty and kindness.</w:t>
            </w:r>
          </w:p>
          <w:p w:rsidR="00B61DF0" w:rsidRPr="00040BDA" w:rsidRDefault="00B61DF0" w:rsidP="006F63D4">
            <w:pPr>
              <w:tabs>
                <w:tab w:val="left" w:pos="2190"/>
              </w:tabs>
              <w:rPr>
                <w:b/>
              </w:rPr>
            </w:pPr>
            <w:r w:rsidRPr="006F63D4">
              <w:rPr>
                <w:b/>
              </w:rPr>
              <w:t>Bullying:</w:t>
            </w:r>
            <w:r w:rsidR="006F63D4" w:rsidRPr="006F63D4">
              <w:t xml:space="preserve"> students </w:t>
            </w:r>
            <w:r w:rsidR="006F63D4">
              <w:t>will gain an understanding of what bullying is, why it happens and what students can</w:t>
            </w:r>
            <w:r w:rsidR="006F63D4" w:rsidRPr="006F63D4">
              <w:t xml:space="preserve"> do </w:t>
            </w:r>
            <w:r w:rsidR="006F63D4">
              <w:t>if they see it happen.</w:t>
            </w:r>
          </w:p>
        </w:tc>
        <w:tc>
          <w:tcPr>
            <w:tcW w:w="3672" w:type="dxa"/>
          </w:tcPr>
          <w:p w:rsidR="00B61DF0" w:rsidRDefault="00B61DF0" w:rsidP="000A53FA">
            <w:r>
              <w:t xml:space="preserve">Students will participate in the Crunch and Sip program. </w:t>
            </w:r>
          </w:p>
        </w:tc>
        <w:tc>
          <w:tcPr>
            <w:tcW w:w="3672" w:type="dxa"/>
          </w:tcPr>
          <w:p w:rsidR="00B61DF0" w:rsidRDefault="00B61DF0" w:rsidP="000A53FA">
            <w:r>
              <w:t>Classes will participate in rotating activities that focus on fundamental movement skills:</w:t>
            </w:r>
          </w:p>
          <w:p w:rsidR="00B61DF0" w:rsidRDefault="00B61DF0" w:rsidP="000A53FA">
            <w:r w:rsidRPr="00C1270B">
              <w:rPr>
                <w:b/>
              </w:rPr>
              <w:t>1A and 1B:</w:t>
            </w:r>
            <w:r>
              <w:t xml:space="preserve"> static balancing, catching and hopping.</w:t>
            </w:r>
          </w:p>
          <w:p w:rsidR="00B61DF0" w:rsidRDefault="00B61DF0" w:rsidP="000A53FA">
            <w:r w:rsidRPr="00C1270B">
              <w:rPr>
                <w:b/>
              </w:rPr>
              <w:t>1S and 1C:</w:t>
            </w:r>
            <w:r>
              <w:t xml:space="preserve"> vertical jumping, static balancing and catching.</w:t>
            </w:r>
          </w:p>
          <w:p w:rsidR="00B61DF0" w:rsidRDefault="00B61DF0" w:rsidP="000A53FA">
            <w:r w:rsidRPr="00C1270B">
              <w:rPr>
                <w:b/>
              </w:rPr>
              <w:t xml:space="preserve">1K and 1L:  </w:t>
            </w:r>
            <w:r>
              <w:t>hopping, vertical jumping and static balancing.</w:t>
            </w:r>
          </w:p>
          <w:p w:rsidR="00B61DF0" w:rsidRDefault="00B61DF0" w:rsidP="000A53FA">
            <w:r w:rsidRPr="00C1270B">
              <w:rPr>
                <w:b/>
              </w:rPr>
              <w:t>1H and 1T:</w:t>
            </w:r>
            <w:r>
              <w:t xml:space="preserve"> catching, hopping and vertical jumping.</w:t>
            </w:r>
          </w:p>
        </w:tc>
      </w:tr>
    </w:tbl>
    <w:p w:rsidR="00B61DF0" w:rsidRDefault="00B61DF0"/>
    <w:p w:rsidR="00B61DF0" w:rsidRDefault="00B61DF0"/>
    <w:sectPr w:rsidR="00B61DF0" w:rsidSect="00ED31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9665C"/>
    <w:multiLevelType w:val="hybridMultilevel"/>
    <w:tmpl w:val="3034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04BE4"/>
    <w:multiLevelType w:val="hybridMultilevel"/>
    <w:tmpl w:val="4CB0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D6795"/>
    <w:multiLevelType w:val="hybridMultilevel"/>
    <w:tmpl w:val="FE12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334FE"/>
    <w:multiLevelType w:val="hybridMultilevel"/>
    <w:tmpl w:val="62B4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90BD7"/>
    <w:multiLevelType w:val="hybridMultilevel"/>
    <w:tmpl w:val="2EB4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E0F1D"/>
    <w:multiLevelType w:val="hybridMultilevel"/>
    <w:tmpl w:val="F402A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DE14FC"/>
    <w:multiLevelType w:val="hybridMultilevel"/>
    <w:tmpl w:val="6D76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70"/>
    <w:rsid w:val="00013057"/>
    <w:rsid w:val="00040BDA"/>
    <w:rsid w:val="000A5EFC"/>
    <w:rsid w:val="001310F2"/>
    <w:rsid w:val="00145585"/>
    <w:rsid w:val="00173DF3"/>
    <w:rsid w:val="00194F2A"/>
    <w:rsid w:val="00253D12"/>
    <w:rsid w:val="00366386"/>
    <w:rsid w:val="00510A73"/>
    <w:rsid w:val="00610B96"/>
    <w:rsid w:val="006F63D4"/>
    <w:rsid w:val="00722D11"/>
    <w:rsid w:val="00734E65"/>
    <w:rsid w:val="007661ED"/>
    <w:rsid w:val="00806E28"/>
    <w:rsid w:val="00866A46"/>
    <w:rsid w:val="008A44B3"/>
    <w:rsid w:val="008B1AB7"/>
    <w:rsid w:val="00931D80"/>
    <w:rsid w:val="00960A9A"/>
    <w:rsid w:val="00A13BE3"/>
    <w:rsid w:val="00A544C5"/>
    <w:rsid w:val="00B61DF0"/>
    <w:rsid w:val="00C1270B"/>
    <w:rsid w:val="00C21426"/>
    <w:rsid w:val="00CE3A6B"/>
    <w:rsid w:val="00D448D6"/>
    <w:rsid w:val="00D67D01"/>
    <w:rsid w:val="00E446C8"/>
    <w:rsid w:val="00ED3170"/>
    <w:rsid w:val="00F2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A2A14-19ED-4814-A452-F2E1006B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170"/>
    <w:pPr>
      <w:ind w:left="720"/>
      <w:contextualSpacing/>
    </w:pPr>
  </w:style>
  <w:style w:type="paragraph" w:styleId="BalloonText">
    <w:name w:val="Balloon Text"/>
    <w:basedOn w:val="Normal"/>
    <w:link w:val="BalloonTextChar"/>
    <w:uiPriority w:val="99"/>
    <w:semiHidden/>
    <w:unhideWhenUsed/>
    <w:rsid w:val="00510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68421">
      <w:bodyDiv w:val="1"/>
      <w:marLeft w:val="0"/>
      <w:marRight w:val="0"/>
      <w:marTop w:val="0"/>
      <w:marBottom w:val="0"/>
      <w:divBdr>
        <w:top w:val="none" w:sz="0" w:space="0" w:color="auto"/>
        <w:left w:val="none" w:sz="0" w:space="0" w:color="auto"/>
        <w:bottom w:val="none" w:sz="0" w:space="0" w:color="auto"/>
        <w:right w:val="none" w:sz="0" w:space="0" w:color="auto"/>
      </w:divBdr>
    </w:div>
    <w:div w:id="1255287488">
      <w:bodyDiv w:val="1"/>
      <w:marLeft w:val="0"/>
      <w:marRight w:val="0"/>
      <w:marTop w:val="0"/>
      <w:marBottom w:val="0"/>
      <w:divBdr>
        <w:top w:val="none" w:sz="0" w:space="0" w:color="auto"/>
        <w:left w:val="none" w:sz="0" w:space="0" w:color="auto"/>
        <w:bottom w:val="none" w:sz="0" w:space="0" w:color="auto"/>
        <w:right w:val="none" w:sz="0" w:space="0" w:color="auto"/>
      </w:divBdr>
    </w:div>
    <w:div w:id="1586037124">
      <w:bodyDiv w:val="1"/>
      <w:marLeft w:val="0"/>
      <w:marRight w:val="0"/>
      <w:marTop w:val="0"/>
      <w:marBottom w:val="0"/>
      <w:divBdr>
        <w:top w:val="none" w:sz="0" w:space="0" w:color="auto"/>
        <w:left w:val="none" w:sz="0" w:space="0" w:color="auto"/>
        <w:bottom w:val="none" w:sz="0" w:space="0" w:color="auto"/>
        <w:right w:val="none" w:sz="0" w:space="0" w:color="auto"/>
      </w:divBdr>
    </w:div>
    <w:div w:id="1604260693">
      <w:bodyDiv w:val="1"/>
      <w:marLeft w:val="0"/>
      <w:marRight w:val="0"/>
      <w:marTop w:val="0"/>
      <w:marBottom w:val="0"/>
      <w:divBdr>
        <w:top w:val="none" w:sz="0" w:space="0" w:color="auto"/>
        <w:left w:val="none" w:sz="0" w:space="0" w:color="auto"/>
        <w:bottom w:val="none" w:sz="0" w:space="0" w:color="auto"/>
        <w:right w:val="none" w:sz="0" w:space="0" w:color="auto"/>
      </w:divBdr>
    </w:div>
    <w:div w:id="1774468973">
      <w:bodyDiv w:val="1"/>
      <w:marLeft w:val="0"/>
      <w:marRight w:val="0"/>
      <w:marTop w:val="0"/>
      <w:marBottom w:val="0"/>
      <w:divBdr>
        <w:top w:val="none" w:sz="0" w:space="0" w:color="auto"/>
        <w:left w:val="none" w:sz="0" w:space="0" w:color="auto"/>
        <w:bottom w:val="none" w:sz="0" w:space="0" w:color="auto"/>
        <w:right w:val="none" w:sz="0" w:space="0" w:color="auto"/>
      </w:divBdr>
    </w:div>
    <w:div w:id="21104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dc:creator>
  <cp:lastModifiedBy>Ingram, Rebecca</cp:lastModifiedBy>
  <cp:revision>2</cp:revision>
  <cp:lastPrinted>2018-02-21T11:45:00Z</cp:lastPrinted>
  <dcterms:created xsi:type="dcterms:W3CDTF">2018-05-01T03:39:00Z</dcterms:created>
  <dcterms:modified xsi:type="dcterms:W3CDTF">2018-05-01T03:39:00Z</dcterms:modified>
</cp:coreProperties>
</file>